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EB49" w14:textId="33A6F85C" w:rsidR="00116CC2" w:rsidRDefault="00116CC2" w:rsidP="00842F94">
      <w:pPr>
        <w:pStyle w:val="Ttulo1"/>
        <w:spacing w:before="0" w:line="240" w:lineRule="auto"/>
      </w:pPr>
      <w:r>
        <w:t>Centro de Pensamiento Universidad EIA</w:t>
      </w:r>
    </w:p>
    <w:p w14:paraId="7AF64B6E" w14:textId="77777777" w:rsidR="003E02C6" w:rsidRDefault="003E02C6" w:rsidP="00842F94">
      <w:pPr>
        <w:pStyle w:val="Ttulo1"/>
        <w:spacing w:before="0" w:line="240" w:lineRule="auto"/>
      </w:pPr>
      <w:r>
        <w:t xml:space="preserve">Balance de </w:t>
      </w:r>
      <w:r w:rsidR="00C00387">
        <w:t>TLC</w:t>
      </w:r>
      <w:r>
        <w:t xml:space="preserve">s 2012 - 2023  </w:t>
      </w:r>
      <w:r w:rsidR="00116CC2">
        <w:t xml:space="preserve"> </w:t>
      </w:r>
    </w:p>
    <w:p w14:paraId="5755F2CD" w14:textId="1511876D" w:rsidR="00876F3A" w:rsidRDefault="00116CC2" w:rsidP="00842F94">
      <w:pPr>
        <w:pStyle w:val="Ttulo1"/>
        <w:spacing w:before="0" w:line="240" w:lineRule="auto"/>
      </w:pPr>
      <w:r>
        <w:t>¿</w:t>
      </w:r>
      <w:r w:rsidR="003E02C6">
        <w:t>R</w:t>
      </w:r>
      <w:r>
        <w:t>enegociación</w:t>
      </w:r>
      <w:r w:rsidR="00C00387">
        <w:t xml:space="preserve"> radical</w:t>
      </w:r>
      <w:r>
        <w:t xml:space="preserve"> o</w:t>
      </w:r>
      <w:r w:rsidR="00C00387">
        <w:t xml:space="preserve"> </w:t>
      </w:r>
      <w:r w:rsidR="00676F68">
        <w:t>revisión para mayor</w:t>
      </w:r>
      <w:r w:rsidR="00C00387">
        <w:t xml:space="preserve"> </w:t>
      </w:r>
      <w:r>
        <w:t>aprovechamiento?</w:t>
      </w:r>
    </w:p>
    <w:p w14:paraId="1B9A46BB" w14:textId="77777777" w:rsidR="00E552B7" w:rsidRDefault="00E552B7" w:rsidP="00E552B7"/>
    <w:p w14:paraId="4FA87EC4" w14:textId="522BD847" w:rsidR="00E552B7" w:rsidRDefault="00CC0C68" w:rsidP="00F27ADF">
      <w:pPr>
        <w:pStyle w:val="Prrafodelista"/>
        <w:numPr>
          <w:ilvl w:val="0"/>
          <w:numId w:val="5"/>
        </w:numPr>
        <w:spacing w:line="276" w:lineRule="auto"/>
        <w:jc w:val="both"/>
        <w:rPr>
          <w:i/>
          <w:iCs/>
        </w:rPr>
      </w:pPr>
      <w:r>
        <w:rPr>
          <w:i/>
          <w:iCs/>
        </w:rPr>
        <w:t>Durante el período de vigencia de los TLC, l</w:t>
      </w:r>
      <w:r w:rsidR="00490212">
        <w:rPr>
          <w:i/>
          <w:iCs/>
        </w:rPr>
        <w:t xml:space="preserve">as exportaciones no minero </w:t>
      </w:r>
      <w:r w:rsidR="00E9114C">
        <w:rPr>
          <w:i/>
          <w:iCs/>
        </w:rPr>
        <w:t xml:space="preserve">energéticas </w:t>
      </w:r>
      <w:r w:rsidR="00B06617">
        <w:rPr>
          <w:i/>
          <w:iCs/>
        </w:rPr>
        <w:t>presentaron un</w:t>
      </w:r>
      <w:r w:rsidR="00BC116E">
        <w:rPr>
          <w:i/>
          <w:iCs/>
        </w:rPr>
        <w:t xml:space="preserve"> crecimiento</w:t>
      </w:r>
      <w:r w:rsidR="00490212">
        <w:rPr>
          <w:i/>
          <w:iCs/>
        </w:rPr>
        <w:t xml:space="preserve"> </w:t>
      </w:r>
      <w:r w:rsidR="00EE5548">
        <w:rPr>
          <w:i/>
          <w:iCs/>
        </w:rPr>
        <w:t xml:space="preserve">anual </w:t>
      </w:r>
      <w:r w:rsidR="00490212">
        <w:rPr>
          <w:i/>
          <w:iCs/>
        </w:rPr>
        <w:t xml:space="preserve">promedio </w:t>
      </w:r>
      <w:r w:rsidR="00BC116E">
        <w:rPr>
          <w:i/>
          <w:iCs/>
        </w:rPr>
        <w:t>del</w:t>
      </w:r>
      <w:r w:rsidR="00490212">
        <w:rPr>
          <w:i/>
          <w:iCs/>
        </w:rPr>
        <w:t xml:space="preserve"> 6,9% en el mercado de los Estados Unidos y</w:t>
      </w:r>
      <w:r>
        <w:rPr>
          <w:i/>
          <w:iCs/>
        </w:rPr>
        <w:t xml:space="preserve"> </w:t>
      </w:r>
      <w:r w:rsidR="00BC116E">
        <w:rPr>
          <w:i/>
          <w:iCs/>
        </w:rPr>
        <w:t xml:space="preserve">del </w:t>
      </w:r>
      <w:r w:rsidR="00490212">
        <w:rPr>
          <w:i/>
          <w:iCs/>
        </w:rPr>
        <w:t>3,</w:t>
      </w:r>
      <w:r w:rsidR="00B06617">
        <w:rPr>
          <w:i/>
          <w:iCs/>
        </w:rPr>
        <w:t>6</w:t>
      </w:r>
      <w:r w:rsidR="00490212">
        <w:rPr>
          <w:i/>
          <w:iCs/>
        </w:rPr>
        <w:t xml:space="preserve">% en el </w:t>
      </w:r>
      <w:r>
        <w:rPr>
          <w:i/>
          <w:iCs/>
        </w:rPr>
        <w:t xml:space="preserve">mercado </w:t>
      </w:r>
      <w:r w:rsidR="00490212">
        <w:rPr>
          <w:i/>
          <w:iCs/>
        </w:rPr>
        <w:t>de la Unión Europea</w:t>
      </w:r>
    </w:p>
    <w:p w14:paraId="2C4C6FC5" w14:textId="1DB8AB25" w:rsidR="00CC0C68" w:rsidRDefault="000813AD" w:rsidP="009F3FA8">
      <w:pPr>
        <w:pStyle w:val="Prrafodelista"/>
        <w:numPr>
          <w:ilvl w:val="0"/>
          <w:numId w:val="5"/>
        </w:numPr>
        <w:spacing w:line="276" w:lineRule="auto"/>
        <w:jc w:val="both"/>
        <w:rPr>
          <w:i/>
          <w:iCs/>
        </w:rPr>
      </w:pPr>
      <w:r>
        <w:rPr>
          <w:i/>
          <w:iCs/>
        </w:rPr>
        <w:t>El nú</w:t>
      </w:r>
      <w:r w:rsidRPr="000813AD">
        <w:rPr>
          <w:i/>
          <w:iCs/>
        </w:rPr>
        <w:t xml:space="preserve">mero de empresas </w:t>
      </w:r>
      <w:r>
        <w:rPr>
          <w:i/>
          <w:iCs/>
        </w:rPr>
        <w:t>exportador</w:t>
      </w:r>
      <w:r w:rsidR="00E25F8D">
        <w:rPr>
          <w:i/>
          <w:iCs/>
        </w:rPr>
        <w:t>a</w:t>
      </w:r>
      <w:r>
        <w:rPr>
          <w:i/>
          <w:iCs/>
        </w:rPr>
        <w:t xml:space="preserve">s con </w:t>
      </w:r>
      <w:r w:rsidR="00D91FCF">
        <w:rPr>
          <w:i/>
          <w:iCs/>
        </w:rPr>
        <w:t>“</w:t>
      </w:r>
      <w:r>
        <w:rPr>
          <w:i/>
          <w:iCs/>
        </w:rPr>
        <w:t>presencia</w:t>
      </w:r>
      <w:r w:rsidR="00DE40B7">
        <w:rPr>
          <w:i/>
          <w:iCs/>
        </w:rPr>
        <w:t xml:space="preserve"> permanente</w:t>
      </w:r>
      <w:r w:rsidR="00D91FCF">
        <w:rPr>
          <w:i/>
          <w:iCs/>
        </w:rPr>
        <w:t>”</w:t>
      </w:r>
      <w:r>
        <w:rPr>
          <w:i/>
          <w:iCs/>
        </w:rPr>
        <w:t xml:space="preserve"> en el mercado de Estados Unidos </w:t>
      </w:r>
      <w:r w:rsidRPr="000813AD">
        <w:rPr>
          <w:i/>
          <w:iCs/>
        </w:rPr>
        <w:t>aument</w:t>
      </w:r>
      <w:r>
        <w:rPr>
          <w:i/>
          <w:iCs/>
        </w:rPr>
        <w:t>ó</w:t>
      </w:r>
      <w:r w:rsidRPr="000813AD">
        <w:rPr>
          <w:i/>
          <w:iCs/>
        </w:rPr>
        <w:t xml:space="preserve"> </w:t>
      </w:r>
      <w:r w:rsidR="00CC0C68">
        <w:rPr>
          <w:i/>
          <w:iCs/>
        </w:rPr>
        <w:t xml:space="preserve">de </w:t>
      </w:r>
      <w:r w:rsidRPr="000813AD">
        <w:rPr>
          <w:i/>
          <w:iCs/>
        </w:rPr>
        <w:t>3.053 a 3.7</w:t>
      </w:r>
      <w:r w:rsidR="00D91FCF">
        <w:rPr>
          <w:i/>
          <w:iCs/>
        </w:rPr>
        <w:t>72</w:t>
      </w:r>
    </w:p>
    <w:p w14:paraId="01DA3DC8" w14:textId="3841574D" w:rsidR="00DE40B7" w:rsidRDefault="00DE40B7" w:rsidP="009F3FA8">
      <w:pPr>
        <w:pStyle w:val="Prrafodelista"/>
        <w:numPr>
          <w:ilvl w:val="0"/>
          <w:numId w:val="5"/>
        </w:numPr>
        <w:spacing w:line="276" w:lineRule="auto"/>
        <w:jc w:val="both"/>
        <w:rPr>
          <w:i/>
          <w:iCs/>
        </w:rPr>
      </w:pPr>
      <w:r>
        <w:rPr>
          <w:i/>
          <w:iCs/>
        </w:rPr>
        <w:t>Del total de empresas que en algún momento han llegado a los Estados Unidos el 54% son Pymes</w:t>
      </w:r>
    </w:p>
    <w:p w14:paraId="4E75E658" w14:textId="53AE5BF9" w:rsidR="003F77D4" w:rsidRDefault="00CA1494" w:rsidP="00842F94">
      <w:pPr>
        <w:spacing w:line="276" w:lineRule="auto"/>
        <w:jc w:val="both"/>
      </w:pPr>
      <w:r w:rsidRPr="00CA1494">
        <w:t xml:space="preserve">Después de </w:t>
      </w:r>
      <w:r w:rsidR="00637FFA">
        <w:t xml:space="preserve">cumplida la </w:t>
      </w:r>
      <w:r w:rsidR="00D17D61">
        <w:t xml:space="preserve">primera </w:t>
      </w:r>
      <w:r w:rsidRPr="00CA1494">
        <w:t xml:space="preserve">década de </w:t>
      </w:r>
      <w:r w:rsidR="00D17D61">
        <w:t xml:space="preserve">los </w:t>
      </w:r>
      <w:r w:rsidRPr="00CA1494">
        <w:t>Tratado</w:t>
      </w:r>
      <w:r w:rsidR="00116CC2">
        <w:t>s</w:t>
      </w:r>
      <w:r w:rsidRPr="00CA1494">
        <w:t xml:space="preserve"> de Libre Comercio (TLC) con los Estados Unidos</w:t>
      </w:r>
      <w:r w:rsidR="00116CC2">
        <w:t xml:space="preserve"> </w:t>
      </w:r>
      <w:r w:rsidR="00FC23C1">
        <w:t>y Europa</w:t>
      </w:r>
      <w:r w:rsidR="004737BD">
        <w:t>,</w:t>
      </w:r>
      <w:r w:rsidR="00FC23C1">
        <w:t xml:space="preserve"> </w:t>
      </w:r>
      <w:r w:rsidR="00116CC2">
        <w:t>el desempeño de las exportaciones nacionales con destino a esos mercados</w:t>
      </w:r>
      <w:r w:rsidR="00842F94">
        <w:t xml:space="preserve"> </w:t>
      </w:r>
      <w:r w:rsidR="003F77D4">
        <w:t xml:space="preserve">muestra resultados </w:t>
      </w:r>
      <w:r w:rsidR="000813AD">
        <w:t xml:space="preserve">relativamente </w:t>
      </w:r>
      <w:r w:rsidR="003F77D4">
        <w:t>satisfactorios</w:t>
      </w:r>
      <w:r w:rsidR="00BC116E">
        <w:t xml:space="preserve">, como </w:t>
      </w:r>
      <w:r w:rsidR="004737BD">
        <w:t>consecuencia</w:t>
      </w:r>
      <w:r w:rsidR="00BC116E">
        <w:t xml:space="preserve"> del repunte de las exportaciones no</w:t>
      </w:r>
      <w:r w:rsidR="00DE40B7">
        <w:t xml:space="preserve"> -</w:t>
      </w:r>
      <w:r w:rsidR="00BC116E">
        <w:t xml:space="preserve"> minero energéticas en los úl</w:t>
      </w:r>
      <w:r w:rsidR="00DE40B7">
        <w:t>timos años</w:t>
      </w:r>
      <w:r w:rsidR="00F31FB2">
        <w:t xml:space="preserve"> y, muy especialmente, de las ventas agrícolas.</w:t>
      </w:r>
      <w:r w:rsidR="000813AD">
        <w:t xml:space="preserve"> </w:t>
      </w:r>
    </w:p>
    <w:p w14:paraId="49A46D7C" w14:textId="3476889B" w:rsidR="00842F94" w:rsidRPr="00B84640" w:rsidRDefault="00842F94" w:rsidP="00842F94">
      <w:pPr>
        <w:pStyle w:val="Descripcin"/>
        <w:spacing w:after="0"/>
        <w:jc w:val="center"/>
        <w:rPr>
          <w:sz w:val="20"/>
          <w:szCs w:val="20"/>
        </w:rPr>
      </w:pPr>
      <w:r w:rsidRPr="00B84640">
        <w:rPr>
          <w:sz w:val="20"/>
          <w:szCs w:val="20"/>
        </w:rPr>
        <w:t xml:space="preserve">Gráfica </w:t>
      </w:r>
      <w:r>
        <w:rPr>
          <w:sz w:val="20"/>
          <w:szCs w:val="20"/>
        </w:rPr>
        <w:t>1</w:t>
      </w:r>
      <w:r w:rsidRPr="00B84640">
        <w:rPr>
          <w:sz w:val="20"/>
          <w:szCs w:val="20"/>
        </w:rPr>
        <w:t xml:space="preserve">. </w:t>
      </w:r>
      <w:r>
        <w:rPr>
          <w:sz w:val="20"/>
          <w:szCs w:val="20"/>
        </w:rPr>
        <w:t>Exportaciones según sector</w:t>
      </w:r>
      <w:r w:rsidRPr="00B84640">
        <w:rPr>
          <w:sz w:val="20"/>
          <w:szCs w:val="20"/>
        </w:rPr>
        <w:t>, Estados Unidos (2012-2023)</w:t>
      </w:r>
    </w:p>
    <w:p w14:paraId="44090D51" w14:textId="77777777" w:rsidR="00842F94" w:rsidRDefault="00842F94" w:rsidP="00842F94">
      <w:pPr>
        <w:spacing w:after="0"/>
        <w:jc w:val="center"/>
      </w:pPr>
      <w:r>
        <w:rPr>
          <w:noProof/>
        </w:rPr>
        <w:drawing>
          <wp:inline distT="0" distB="0" distL="0" distR="0" wp14:anchorId="780DC21C" wp14:editId="42DCA6AE">
            <wp:extent cx="4320000" cy="2692030"/>
            <wp:effectExtent l="0" t="0" r="0" b="0"/>
            <wp:docPr id="4676739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69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16C01" w14:textId="4263812B" w:rsidR="00842F94" w:rsidRDefault="00842F94" w:rsidP="00842F94">
      <w:pPr>
        <w:jc w:val="center"/>
      </w:pPr>
      <w:r>
        <w:t>Fuente: DANE-DIAN (2023). Cálculos propios.</w:t>
      </w:r>
    </w:p>
    <w:p w14:paraId="2B035F06" w14:textId="2DC25640" w:rsidR="002E053C" w:rsidRDefault="00170803" w:rsidP="00BB1524">
      <w:pPr>
        <w:spacing w:line="276" w:lineRule="auto"/>
        <w:jc w:val="both"/>
      </w:pPr>
      <w:r>
        <w:t>De</w:t>
      </w:r>
      <w:r w:rsidR="008D3A4C">
        <w:t xml:space="preserve"> acuerdo con </w:t>
      </w:r>
      <w:r w:rsidR="00F31FB2">
        <w:t>un</w:t>
      </w:r>
      <w:r w:rsidR="008D3A4C">
        <w:t xml:space="preserve"> reporte del Centro de Pensamiento de la Universidad EIA</w:t>
      </w:r>
      <w:r w:rsidR="00D91FCF">
        <w:t>,</w:t>
      </w:r>
      <w:r w:rsidR="002E053C">
        <w:t xml:space="preserve"> en los periodos de vigencia de los TLC con Estados Unidos y la Unión Europea </w:t>
      </w:r>
      <w:r w:rsidR="002E053C" w:rsidRPr="00E25F8D">
        <w:rPr>
          <w:b/>
          <w:bCs/>
        </w:rPr>
        <w:t>las exportaciones totales</w:t>
      </w:r>
      <w:r w:rsidR="002E053C">
        <w:t xml:space="preserve"> tuvieron en promedio </w:t>
      </w:r>
      <w:r w:rsidR="00F31FB2">
        <w:t xml:space="preserve"> </w:t>
      </w:r>
      <w:r w:rsidR="002E053C">
        <w:t xml:space="preserve">caídas anuales del orden del 3,2% y 0,2% respectivamente, </w:t>
      </w:r>
      <w:r w:rsidR="00D91FCF">
        <w:t xml:space="preserve">como consecuencia de los altibajos asociados a los precios del petróleo que aún </w:t>
      </w:r>
      <w:r w:rsidR="00B06617">
        <w:t>predominan</w:t>
      </w:r>
      <w:r w:rsidR="00D91FCF">
        <w:t xml:space="preserve"> </w:t>
      </w:r>
      <w:r w:rsidR="002E053C">
        <w:t>en las ventas externas con destino a esos países.</w:t>
      </w:r>
    </w:p>
    <w:p w14:paraId="19BA3201" w14:textId="43153622" w:rsidR="002E053C" w:rsidRPr="007D34F9" w:rsidRDefault="00F775EE" w:rsidP="00BB1524">
      <w:pPr>
        <w:spacing w:line="276" w:lineRule="auto"/>
        <w:jc w:val="both"/>
        <w:rPr>
          <w:color w:val="000000" w:themeColor="text1"/>
        </w:rPr>
      </w:pPr>
      <w:r w:rsidRPr="007D34F9">
        <w:rPr>
          <w:color w:val="000000" w:themeColor="text1"/>
        </w:rPr>
        <w:t xml:space="preserve">No obstante, </w:t>
      </w:r>
      <w:r w:rsidR="007D34F9" w:rsidRPr="007D34F9">
        <w:rPr>
          <w:color w:val="000000" w:themeColor="text1"/>
        </w:rPr>
        <w:t xml:space="preserve">a lo largo de </w:t>
      </w:r>
      <w:r w:rsidR="006C64B2" w:rsidRPr="007D34F9">
        <w:rPr>
          <w:color w:val="000000" w:themeColor="text1"/>
        </w:rPr>
        <w:t xml:space="preserve">estas vigencias las </w:t>
      </w:r>
      <w:r w:rsidR="006C64B2" w:rsidRPr="00E25F8D">
        <w:rPr>
          <w:b/>
          <w:bCs/>
          <w:color w:val="000000" w:themeColor="text1"/>
        </w:rPr>
        <w:t>exportaciones no minero energéticas</w:t>
      </w:r>
      <w:r w:rsidR="006C64B2" w:rsidRPr="007D34F9">
        <w:rPr>
          <w:color w:val="000000" w:themeColor="text1"/>
        </w:rPr>
        <w:t xml:space="preserve">  - que en sentido estricto son las </w:t>
      </w:r>
      <w:r w:rsidR="007D34F9" w:rsidRPr="007D34F9">
        <w:rPr>
          <w:color w:val="000000" w:themeColor="text1"/>
        </w:rPr>
        <w:t>que reciben los beneficios</w:t>
      </w:r>
      <w:r w:rsidR="006C64B2" w:rsidRPr="007D34F9">
        <w:rPr>
          <w:color w:val="000000" w:themeColor="text1"/>
        </w:rPr>
        <w:t xml:space="preserve"> de los TLC </w:t>
      </w:r>
      <w:r w:rsidR="00E25F8D">
        <w:rPr>
          <w:color w:val="000000" w:themeColor="text1"/>
        </w:rPr>
        <w:t>–</w:t>
      </w:r>
      <w:r w:rsidR="006C64B2" w:rsidRPr="007D34F9">
        <w:rPr>
          <w:color w:val="000000" w:themeColor="text1"/>
        </w:rPr>
        <w:t xml:space="preserve"> </w:t>
      </w:r>
      <w:r w:rsidR="00E25F8D">
        <w:rPr>
          <w:color w:val="000000" w:themeColor="text1"/>
        </w:rPr>
        <w:t>tuvieron</w:t>
      </w:r>
      <w:r w:rsidR="006C64B2" w:rsidRPr="007D34F9">
        <w:rPr>
          <w:color w:val="000000" w:themeColor="text1"/>
        </w:rPr>
        <w:t xml:space="preserve"> un</w:t>
      </w:r>
      <w:r w:rsidR="00E25F8D">
        <w:rPr>
          <w:color w:val="000000" w:themeColor="text1"/>
        </w:rPr>
        <w:t xml:space="preserve"> crecimiento del</w:t>
      </w:r>
      <w:r w:rsidR="006C64B2" w:rsidRPr="007D34F9">
        <w:rPr>
          <w:color w:val="000000" w:themeColor="text1"/>
        </w:rPr>
        <w:t xml:space="preserve"> </w:t>
      </w:r>
      <w:r w:rsidR="006C64B2" w:rsidRPr="00E25F8D">
        <w:rPr>
          <w:b/>
          <w:bCs/>
          <w:color w:val="000000" w:themeColor="text1"/>
        </w:rPr>
        <w:t xml:space="preserve">6,9% anual promedio </w:t>
      </w:r>
      <w:r w:rsidR="006C64B2" w:rsidRPr="007D34F9">
        <w:rPr>
          <w:color w:val="000000" w:themeColor="text1"/>
        </w:rPr>
        <w:t xml:space="preserve">en el mercado de los </w:t>
      </w:r>
      <w:r w:rsidR="006C64B2" w:rsidRPr="00E25F8D">
        <w:rPr>
          <w:b/>
          <w:bCs/>
          <w:color w:val="000000" w:themeColor="text1"/>
        </w:rPr>
        <w:t>Estados Unidos</w:t>
      </w:r>
      <w:r w:rsidR="006C64B2" w:rsidRPr="007D34F9">
        <w:rPr>
          <w:color w:val="000000" w:themeColor="text1"/>
        </w:rPr>
        <w:t xml:space="preserve"> (2012 – 2022) y </w:t>
      </w:r>
      <w:r w:rsidR="006C64B2" w:rsidRPr="00E25F8D">
        <w:rPr>
          <w:b/>
          <w:bCs/>
          <w:color w:val="000000" w:themeColor="text1"/>
        </w:rPr>
        <w:t>un</w:t>
      </w:r>
      <w:r w:rsidR="00E25F8D" w:rsidRPr="00E25F8D">
        <w:rPr>
          <w:b/>
          <w:bCs/>
          <w:color w:val="000000" w:themeColor="text1"/>
        </w:rPr>
        <w:t>o del</w:t>
      </w:r>
      <w:r w:rsidR="006C64B2" w:rsidRPr="00E25F8D">
        <w:rPr>
          <w:b/>
          <w:bCs/>
          <w:color w:val="000000" w:themeColor="text1"/>
        </w:rPr>
        <w:t xml:space="preserve"> 3,6%</w:t>
      </w:r>
      <w:r w:rsidR="006C64B2" w:rsidRPr="007D34F9">
        <w:rPr>
          <w:color w:val="000000" w:themeColor="text1"/>
        </w:rPr>
        <w:t xml:space="preserve"> en de la </w:t>
      </w:r>
      <w:r w:rsidR="006C64B2" w:rsidRPr="00E25F8D">
        <w:rPr>
          <w:b/>
          <w:bCs/>
          <w:color w:val="000000" w:themeColor="text1"/>
        </w:rPr>
        <w:t>Unión Europea</w:t>
      </w:r>
      <w:r w:rsidR="006C64B2" w:rsidRPr="007D34F9">
        <w:rPr>
          <w:color w:val="000000" w:themeColor="text1"/>
        </w:rPr>
        <w:t xml:space="preserve"> (2013 – 2022),  </w:t>
      </w:r>
      <w:r w:rsidR="00E25F8D">
        <w:rPr>
          <w:color w:val="000000" w:themeColor="text1"/>
        </w:rPr>
        <w:t xml:space="preserve">a pesar de las </w:t>
      </w:r>
      <w:r w:rsidR="00E25F8D" w:rsidRPr="00EF2ED7">
        <w:rPr>
          <w:b/>
          <w:bCs/>
          <w:color w:val="000000" w:themeColor="text1"/>
        </w:rPr>
        <w:t>caídas</w:t>
      </w:r>
      <w:r w:rsidR="006C64B2" w:rsidRPr="00EF2ED7">
        <w:rPr>
          <w:b/>
          <w:bCs/>
          <w:color w:val="000000" w:themeColor="text1"/>
        </w:rPr>
        <w:t xml:space="preserve"> del 4,7% y el 6,4%,</w:t>
      </w:r>
      <w:r w:rsidR="006C64B2" w:rsidRPr="007D34F9">
        <w:rPr>
          <w:color w:val="000000" w:themeColor="text1"/>
        </w:rPr>
        <w:t xml:space="preserve"> </w:t>
      </w:r>
      <w:r w:rsidR="00D502E9" w:rsidRPr="007D34F9">
        <w:rPr>
          <w:color w:val="000000" w:themeColor="text1"/>
        </w:rPr>
        <w:t>respectivamente</w:t>
      </w:r>
      <w:r w:rsidR="006C64B2" w:rsidRPr="007D34F9">
        <w:rPr>
          <w:color w:val="000000" w:themeColor="text1"/>
        </w:rPr>
        <w:t xml:space="preserve">,  </w:t>
      </w:r>
      <w:r w:rsidR="00D502E9" w:rsidRPr="007D34F9">
        <w:rPr>
          <w:color w:val="000000" w:themeColor="text1"/>
        </w:rPr>
        <w:t xml:space="preserve">durante </w:t>
      </w:r>
      <w:r w:rsidR="006C64B2" w:rsidRPr="00EF2ED7">
        <w:rPr>
          <w:b/>
          <w:bCs/>
          <w:color w:val="000000" w:themeColor="text1"/>
        </w:rPr>
        <w:t>el primer semestre de 2023</w:t>
      </w:r>
      <w:r w:rsidR="007D34F9" w:rsidRPr="00EF2ED7">
        <w:rPr>
          <w:b/>
          <w:bCs/>
          <w:color w:val="000000" w:themeColor="text1"/>
        </w:rPr>
        <w:t>.</w:t>
      </w:r>
    </w:p>
    <w:p w14:paraId="51DDE19C" w14:textId="77777777" w:rsidR="002E053C" w:rsidRDefault="002E053C" w:rsidP="00BB1524">
      <w:pPr>
        <w:spacing w:line="276" w:lineRule="auto"/>
        <w:jc w:val="both"/>
      </w:pPr>
    </w:p>
    <w:p w14:paraId="5A0745CE" w14:textId="171D15E6" w:rsidR="00BB1524" w:rsidRDefault="00D91FCF" w:rsidP="00BB1524">
      <w:pPr>
        <w:spacing w:line="276" w:lineRule="auto"/>
        <w:jc w:val="both"/>
      </w:pPr>
      <w:r>
        <w:t xml:space="preserve"> </w:t>
      </w:r>
      <w:r w:rsidR="009E4B1D">
        <w:t xml:space="preserve"> </w:t>
      </w:r>
    </w:p>
    <w:p w14:paraId="42E20CDA" w14:textId="24E60BDE" w:rsidR="00842F94" w:rsidRPr="00B84640" w:rsidRDefault="00842F94" w:rsidP="00842F94">
      <w:pPr>
        <w:pStyle w:val="Descripcin"/>
        <w:spacing w:after="0"/>
        <w:jc w:val="center"/>
        <w:rPr>
          <w:sz w:val="20"/>
          <w:szCs w:val="20"/>
        </w:rPr>
      </w:pPr>
      <w:r w:rsidRPr="00B84640">
        <w:rPr>
          <w:sz w:val="20"/>
          <w:szCs w:val="20"/>
        </w:rPr>
        <w:t>Gráfica</w:t>
      </w:r>
      <w:r>
        <w:rPr>
          <w:sz w:val="20"/>
          <w:szCs w:val="20"/>
        </w:rPr>
        <w:t xml:space="preserve"> 2</w:t>
      </w:r>
      <w:r w:rsidRPr="00B84640">
        <w:rPr>
          <w:sz w:val="20"/>
          <w:szCs w:val="20"/>
        </w:rPr>
        <w:t xml:space="preserve">. </w:t>
      </w:r>
      <w:r>
        <w:rPr>
          <w:sz w:val="20"/>
          <w:szCs w:val="20"/>
        </w:rPr>
        <w:t>Exportaciones según sector</w:t>
      </w:r>
      <w:r w:rsidRPr="00B84640">
        <w:rPr>
          <w:sz w:val="20"/>
          <w:szCs w:val="20"/>
        </w:rPr>
        <w:t xml:space="preserve">, </w:t>
      </w:r>
      <w:r>
        <w:rPr>
          <w:sz w:val="20"/>
          <w:szCs w:val="20"/>
        </w:rPr>
        <w:t>Unión Europea</w:t>
      </w:r>
      <w:r w:rsidRPr="00B84640">
        <w:rPr>
          <w:sz w:val="20"/>
          <w:szCs w:val="20"/>
        </w:rPr>
        <w:t xml:space="preserve"> (2012-2023)</w:t>
      </w:r>
    </w:p>
    <w:p w14:paraId="7513E6F3" w14:textId="304BA6C3" w:rsidR="00842F94" w:rsidRDefault="00170803" w:rsidP="00842F94">
      <w:pPr>
        <w:spacing w:after="0"/>
        <w:jc w:val="center"/>
      </w:pPr>
      <w:r>
        <w:rPr>
          <w:noProof/>
        </w:rPr>
        <w:drawing>
          <wp:inline distT="0" distB="0" distL="0" distR="0" wp14:anchorId="614942B5" wp14:editId="5290F89D">
            <wp:extent cx="5040000" cy="3140701"/>
            <wp:effectExtent l="0" t="0" r="0" b="0"/>
            <wp:docPr id="20266842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14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60CB63" w14:textId="26057C3C" w:rsidR="00842F94" w:rsidRDefault="00842F94" w:rsidP="00842F94">
      <w:pPr>
        <w:jc w:val="center"/>
      </w:pPr>
      <w:r>
        <w:t>Fuente: DANE-DIAN (2023). Cálculos propios.</w:t>
      </w:r>
    </w:p>
    <w:p w14:paraId="339A1ECD" w14:textId="3C7A0D53" w:rsidR="004737BD" w:rsidRDefault="00D91FCF" w:rsidP="004737BD">
      <w:pPr>
        <w:spacing w:line="276" w:lineRule="auto"/>
        <w:jc w:val="both"/>
      </w:pPr>
      <w:r w:rsidRPr="00EC0798">
        <w:rPr>
          <w:b/>
          <w:bCs/>
        </w:rPr>
        <w:t>En medio del debate semántico al interior del gobierno sobre la “renegociación” o “revisión” de estos tratados, no debe perderse de vista la tarea de un mayor aprovechamiento</w:t>
      </w:r>
      <w:r>
        <w:t xml:space="preserve"> de las oportunidades que ya se han ha materializado para los sectores industrial, agrícola y de servicios </w:t>
      </w:r>
      <w:r w:rsidR="004737BD">
        <w:t>a lo largo de</w:t>
      </w:r>
      <w:r>
        <w:t xml:space="preserve"> su </w:t>
      </w:r>
      <w:r w:rsidR="00E25F8D">
        <w:t xml:space="preserve">trayectoria de </w:t>
      </w:r>
      <w:r>
        <w:t xml:space="preserve">implementación”, </w:t>
      </w:r>
      <w:r w:rsidRPr="00EC0798">
        <w:rPr>
          <w:b/>
          <w:bCs/>
        </w:rPr>
        <w:t>señaló José Manuel Restrepo, Rector de la Universidad EIA</w:t>
      </w:r>
      <w:r>
        <w:t>.</w:t>
      </w:r>
    </w:p>
    <w:p w14:paraId="47FF26F2" w14:textId="2D5D7E1C" w:rsidR="004737BD" w:rsidRPr="004737BD" w:rsidRDefault="00C00387" w:rsidP="004737BD">
      <w:pPr>
        <w:spacing w:line="276" w:lineRule="auto"/>
        <w:jc w:val="both"/>
      </w:pPr>
      <w:r w:rsidRPr="004737BD">
        <w:t>De hecho</w:t>
      </w:r>
      <w:r w:rsidR="00D174BF" w:rsidRPr="004737BD">
        <w:t>,</w:t>
      </w:r>
      <w:r w:rsidRPr="004737BD">
        <w:t xml:space="preserve"> </w:t>
      </w:r>
      <w:r w:rsidR="009C0C92">
        <w:t>en Estados Unidos</w:t>
      </w:r>
      <w:r w:rsidRPr="004737BD">
        <w:t xml:space="preserve"> las subpartidas arancelarias con </w:t>
      </w:r>
      <w:r w:rsidR="00801C91">
        <w:t>oferta</w:t>
      </w:r>
      <w:r w:rsidRPr="004737BD">
        <w:t xml:space="preserve"> en </w:t>
      </w:r>
      <w:r w:rsidR="009C0C92">
        <w:t>ese mercado</w:t>
      </w:r>
      <w:r w:rsidRPr="004737BD">
        <w:t xml:space="preserve"> pasaron de 2.013 a 2.471 subpartidas.</w:t>
      </w:r>
      <w:r>
        <w:t xml:space="preserve"> </w:t>
      </w:r>
      <w:r w:rsidR="00E25F8D">
        <w:t xml:space="preserve">Y de acuerdo con la Cámara Colombo – Americana </w:t>
      </w:r>
      <w:r w:rsidR="004737BD">
        <w:t>el</w:t>
      </w:r>
      <w:r w:rsidR="00E25F8D">
        <w:rPr>
          <w:i/>
          <w:iCs/>
        </w:rPr>
        <w:t xml:space="preserve"> nú</w:t>
      </w:r>
      <w:r w:rsidR="00E25F8D" w:rsidRPr="000813AD">
        <w:rPr>
          <w:i/>
          <w:iCs/>
        </w:rPr>
        <w:t xml:space="preserve">mero de empresas </w:t>
      </w:r>
      <w:r w:rsidR="00E25F8D">
        <w:rPr>
          <w:i/>
          <w:iCs/>
        </w:rPr>
        <w:t xml:space="preserve">exportadoras con “presencia permanente” en el mercado de Estados Unidos </w:t>
      </w:r>
      <w:r w:rsidR="00E25F8D" w:rsidRPr="000813AD">
        <w:rPr>
          <w:i/>
          <w:iCs/>
        </w:rPr>
        <w:t>aument</w:t>
      </w:r>
      <w:r w:rsidR="00E25F8D">
        <w:rPr>
          <w:i/>
          <w:iCs/>
        </w:rPr>
        <w:t>ó</w:t>
      </w:r>
      <w:r w:rsidR="00E25F8D" w:rsidRPr="000813AD">
        <w:rPr>
          <w:i/>
          <w:iCs/>
        </w:rPr>
        <w:t xml:space="preserve"> </w:t>
      </w:r>
      <w:r w:rsidR="00E25F8D">
        <w:rPr>
          <w:i/>
          <w:iCs/>
        </w:rPr>
        <w:t xml:space="preserve">de </w:t>
      </w:r>
      <w:r w:rsidR="00E25F8D" w:rsidRPr="000813AD">
        <w:rPr>
          <w:i/>
          <w:iCs/>
        </w:rPr>
        <w:t>3.053 a 3.7</w:t>
      </w:r>
      <w:r w:rsidR="00E25F8D">
        <w:rPr>
          <w:i/>
          <w:iCs/>
        </w:rPr>
        <w:t>72</w:t>
      </w:r>
      <w:r w:rsidR="004737BD">
        <w:rPr>
          <w:i/>
          <w:iCs/>
        </w:rPr>
        <w:t>. Por otro lado, del total de empresas que en algún momento han llegado a los Estados Unidos</w:t>
      </w:r>
      <w:r w:rsidR="00EE5548">
        <w:rPr>
          <w:i/>
          <w:iCs/>
        </w:rPr>
        <w:t xml:space="preserve">, </w:t>
      </w:r>
      <w:r w:rsidR="00B06617">
        <w:rPr>
          <w:i/>
          <w:iCs/>
        </w:rPr>
        <w:t>con el fin de</w:t>
      </w:r>
      <w:r w:rsidR="00EE5548">
        <w:rPr>
          <w:i/>
          <w:iCs/>
        </w:rPr>
        <w:t xml:space="preserve"> aprovechar el tratado</w:t>
      </w:r>
      <w:r w:rsidR="004737BD">
        <w:rPr>
          <w:i/>
          <w:iCs/>
        </w:rPr>
        <w:t>, el 54% son Pymes</w:t>
      </w:r>
      <w:r w:rsidR="00B06617">
        <w:rPr>
          <w:i/>
          <w:iCs/>
        </w:rPr>
        <w:t>, según la presidencia nacional de ACOPI.</w:t>
      </w:r>
    </w:p>
    <w:p w14:paraId="12EC9501" w14:textId="63F2D9BB" w:rsidR="00E25F8D" w:rsidRPr="00EC0798" w:rsidRDefault="00E25F8D" w:rsidP="00E25F8D">
      <w:pPr>
        <w:spacing w:line="276" w:lineRule="auto"/>
        <w:jc w:val="both"/>
        <w:rPr>
          <w:b/>
          <w:bCs/>
        </w:rPr>
      </w:pPr>
      <w:r w:rsidRPr="00EC0798">
        <w:rPr>
          <w:b/>
          <w:bCs/>
        </w:rPr>
        <w:t xml:space="preserve">En medio </w:t>
      </w:r>
      <w:r>
        <w:rPr>
          <w:b/>
          <w:bCs/>
        </w:rPr>
        <w:t>del</w:t>
      </w:r>
      <w:r w:rsidRPr="00EC0798">
        <w:rPr>
          <w:b/>
          <w:bCs/>
        </w:rPr>
        <w:t xml:space="preserve"> panorama </w:t>
      </w:r>
      <w:r>
        <w:rPr>
          <w:b/>
          <w:bCs/>
        </w:rPr>
        <w:t xml:space="preserve">de creciente </w:t>
      </w:r>
      <w:r w:rsidRPr="00EC0798">
        <w:rPr>
          <w:b/>
          <w:bCs/>
        </w:rPr>
        <w:t>aprovechamiento del TLC con los Estados Unidos y la Unión Europea para diversificar la canasta exportadora colombiana, resulta relevante destacar los esfuerzos que algunos sectores productivos del país están llevando a cabo para crecer en ambos mercados.</w:t>
      </w:r>
    </w:p>
    <w:p w14:paraId="138C9AA2" w14:textId="02873B02" w:rsidR="00EE5548" w:rsidRDefault="0031464D" w:rsidP="0031464D">
      <w:pPr>
        <w:spacing w:line="276" w:lineRule="auto"/>
        <w:jc w:val="both"/>
      </w:pPr>
      <w:r>
        <w:t xml:space="preserve">En el caso de los Estados Unidos </w:t>
      </w:r>
      <w:r w:rsidR="009019E0">
        <w:t xml:space="preserve">resalta el comportamiento </w:t>
      </w:r>
      <w:r w:rsidR="003D7740">
        <w:t xml:space="preserve">de las exportaciones de algunos productos industriales que han mostrado </w:t>
      </w:r>
      <w:r w:rsidR="00EE5548">
        <w:t xml:space="preserve">buenos </w:t>
      </w:r>
      <w:r w:rsidR="003D7740">
        <w:t xml:space="preserve">desempeños </w:t>
      </w:r>
      <w:r w:rsidR="00D13482">
        <w:t>durante la vigencia del tratado</w:t>
      </w:r>
      <w:r w:rsidR="003D7740">
        <w:t>. Entre ell</w:t>
      </w:r>
      <w:r w:rsidR="00EE5548">
        <w:t>o</w:t>
      </w:r>
      <w:r w:rsidR="003D7740">
        <w:t>s cabe mencionar</w:t>
      </w:r>
      <w:r>
        <w:t xml:space="preserve"> </w:t>
      </w:r>
      <w:r w:rsidR="003D7740">
        <w:t xml:space="preserve">las puertas, ventanas y sus marcos, las fajas deportivas, la ropa de tocador o de cocina (toallas), </w:t>
      </w:r>
      <w:r w:rsidR="003D7740" w:rsidRPr="00D13482">
        <w:t xml:space="preserve">así como las placas y hojas lisas de vidrio. </w:t>
      </w:r>
    </w:p>
    <w:p w14:paraId="597740F3" w14:textId="44B94B5A" w:rsidR="0031464D" w:rsidRDefault="00D13482" w:rsidP="0031464D">
      <w:pPr>
        <w:spacing w:line="276" w:lineRule="auto"/>
        <w:jc w:val="both"/>
      </w:pPr>
      <w:r w:rsidRPr="00D13482">
        <w:t>No obstante, la mayoría de las exportaciones industriales con destino a ese mercado enfrentan con mayor rigor los efectos de la baja productividad de las empresas del sector</w:t>
      </w:r>
      <w:r w:rsidR="00DC483C">
        <w:t xml:space="preserve"> que no se </w:t>
      </w:r>
      <w:r w:rsidR="00EC0798">
        <w:t>vio</w:t>
      </w:r>
      <w:r w:rsidR="00DC483C">
        <w:t xml:space="preserve"> compensada por la </w:t>
      </w:r>
      <w:r w:rsidR="00DC483C">
        <w:lastRenderedPageBreak/>
        <w:t>fuerte devaluación de los últimos años</w:t>
      </w:r>
      <w:r w:rsidRPr="00D13482">
        <w:t xml:space="preserve">. Por esa razón, </w:t>
      </w:r>
      <w:r w:rsidRPr="00EC0798">
        <w:rPr>
          <w:b/>
          <w:bCs/>
        </w:rPr>
        <w:t xml:space="preserve">como lo señala Saúl Pineda, Director del Centro de Pensamiento de la EIA, “la actual política de reindustrialización liderada por el ministerio de </w:t>
      </w:r>
      <w:r w:rsidR="00EC0798">
        <w:rPr>
          <w:b/>
          <w:bCs/>
        </w:rPr>
        <w:t>C</w:t>
      </w:r>
      <w:r w:rsidRPr="00EC0798">
        <w:rPr>
          <w:b/>
          <w:bCs/>
        </w:rPr>
        <w:t xml:space="preserve">omercio, </w:t>
      </w:r>
      <w:r w:rsidR="00EC0798">
        <w:rPr>
          <w:b/>
          <w:bCs/>
        </w:rPr>
        <w:t>I</w:t>
      </w:r>
      <w:r w:rsidRPr="00EC0798">
        <w:rPr>
          <w:b/>
          <w:bCs/>
        </w:rPr>
        <w:t xml:space="preserve">ndustria y </w:t>
      </w:r>
      <w:r w:rsidR="00EC0798">
        <w:rPr>
          <w:b/>
          <w:bCs/>
        </w:rPr>
        <w:t>T</w:t>
      </w:r>
      <w:r w:rsidRPr="00EC0798">
        <w:rPr>
          <w:b/>
          <w:bCs/>
        </w:rPr>
        <w:t>urismo, orientada precisamente a fortalecer las actividades productivas nacionales, constituye una decisión en la dirección correcta”.</w:t>
      </w:r>
    </w:p>
    <w:p w14:paraId="17F91F41" w14:textId="77777777" w:rsidR="00A83337" w:rsidRDefault="00E73ECD" w:rsidP="008416B8">
      <w:pPr>
        <w:spacing w:line="276" w:lineRule="auto"/>
        <w:jc w:val="both"/>
      </w:pPr>
      <w:r w:rsidRPr="00EE5548">
        <w:t xml:space="preserve">Por su parte, </w:t>
      </w:r>
      <w:r w:rsidR="00A83337" w:rsidRPr="00EE5548">
        <w:t>las partidas arancelarias con presencia en el mercado de la Unión Europea pasaron de 1.524 a 1.720 en el período 2013 – 2022.</w:t>
      </w:r>
      <w:r w:rsidR="00A83337">
        <w:t xml:space="preserve"> </w:t>
      </w:r>
      <w:r w:rsidR="00D13482">
        <w:t xml:space="preserve">En </w:t>
      </w:r>
      <w:r w:rsidR="00A83337">
        <w:t>este mercado</w:t>
      </w:r>
      <w:r w:rsidR="00D13482">
        <w:t xml:space="preserve"> cabe </w:t>
      </w:r>
      <w:r w:rsidR="00C25EE2">
        <w:t>resalta</w:t>
      </w:r>
      <w:r w:rsidR="00D13482">
        <w:t>r</w:t>
      </w:r>
      <w:r w:rsidR="00C00387">
        <w:t xml:space="preserve"> </w:t>
      </w:r>
      <w:r w:rsidR="00D13482">
        <w:t xml:space="preserve">un grupo de productos agrícolas </w:t>
      </w:r>
      <w:r w:rsidR="00C25EE2">
        <w:t>que han tenido un crecimiento sostenido a lo largo de la vigencia del tratado. En</w:t>
      </w:r>
      <w:r w:rsidR="0058530E">
        <w:t>te</w:t>
      </w:r>
      <w:r w:rsidR="00C25EE2">
        <w:t xml:space="preserve"> ellas se destacan las ventas de plátanos frescos,</w:t>
      </w:r>
      <w:r w:rsidR="0058530E">
        <w:t xml:space="preserve"> azúcar, </w:t>
      </w:r>
      <w:r w:rsidR="00C25EE2">
        <w:t>claveles frescos, aceites de palma</w:t>
      </w:r>
      <w:r w:rsidR="0058530E">
        <w:t xml:space="preserve">, gulupa y, en el período más reciente, el aguacate Hass. </w:t>
      </w:r>
    </w:p>
    <w:p w14:paraId="3ED2BA57" w14:textId="3AB8A3D9" w:rsidR="00C139F3" w:rsidRDefault="00EE5548" w:rsidP="008416B8">
      <w:pPr>
        <w:spacing w:line="276" w:lineRule="auto"/>
        <w:jc w:val="both"/>
      </w:pPr>
      <w:r>
        <w:t>El</w:t>
      </w:r>
      <w:r w:rsidR="008327D9">
        <w:t xml:space="preserve"> reporte de la</w:t>
      </w:r>
      <w:r w:rsidR="0058530E" w:rsidRPr="0058530E">
        <w:t xml:space="preserve"> </w:t>
      </w:r>
      <w:r w:rsidR="008327D9">
        <w:t xml:space="preserve">Universidad EIA enfatiza </w:t>
      </w:r>
      <w:r w:rsidR="0058530E" w:rsidRPr="0058530E">
        <w:t xml:space="preserve">que las exportaciones agrícolas – </w:t>
      </w:r>
      <w:r w:rsidR="00A83337">
        <w:t xml:space="preserve">que han </w:t>
      </w:r>
      <w:r w:rsidR="00DC483C">
        <w:t xml:space="preserve">ganado una participación creciente en esos mercados </w:t>
      </w:r>
      <w:r w:rsidR="0058530E" w:rsidRPr="0058530E">
        <w:t>-  evidencian un mejor aprovechamiento de la ventaja absoluta del país en este tipo de productos</w:t>
      </w:r>
      <w:r w:rsidR="00F27ADF">
        <w:t>,</w:t>
      </w:r>
      <w:r w:rsidR="0058530E" w:rsidRPr="0058530E">
        <w:t xml:space="preserve"> </w:t>
      </w:r>
      <w:r w:rsidR="0058530E">
        <w:t xml:space="preserve">al tiempo que </w:t>
      </w:r>
      <w:r w:rsidR="0058530E" w:rsidRPr="0058530E">
        <w:t>presentan una mejor reacción a las políticas públicas de promoción, logística, infraestructura y diplomacia sanitaria</w:t>
      </w:r>
      <w:r w:rsidR="00F27ADF">
        <w:t>, aunque en estos</w:t>
      </w:r>
      <w:r w:rsidR="00D17F14">
        <w:t xml:space="preserve"> últimos </w:t>
      </w:r>
      <w:r w:rsidR="00F27ADF">
        <w:t>frentes las tareas del país siguen siendo de gran magnitud</w:t>
      </w:r>
      <w:r w:rsidR="0094418A">
        <w:t>.</w:t>
      </w:r>
    </w:p>
    <w:p w14:paraId="09E12240" w14:textId="57E17B86" w:rsidR="00C139F3" w:rsidRPr="00EC0798" w:rsidRDefault="00C139F3" w:rsidP="00C139F3">
      <w:pPr>
        <w:spacing w:line="276" w:lineRule="auto"/>
        <w:jc w:val="both"/>
        <w:rPr>
          <w:b/>
          <w:bCs/>
        </w:rPr>
      </w:pPr>
      <w:r w:rsidRPr="00EC0798">
        <w:rPr>
          <w:b/>
          <w:bCs/>
        </w:rPr>
        <w:t xml:space="preserve"> </w:t>
      </w:r>
      <w:r w:rsidR="0058530E" w:rsidRPr="00EC0798">
        <w:rPr>
          <w:b/>
          <w:bCs/>
        </w:rPr>
        <w:t>“S</w:t>
      </w:r>
      <w:r w:rsidRPr="00EC0798">
        <w:rPr>
          <w:b/>
          <w:bCs/>
        </w:rPr>
        <w:t xml:space="preserve">olo un balance riguroso de los resultados de estos TLCs , </w:t>
      </w:r>
      <w:r w:rsidR="00CF74A3" w:rsidRPr="00EC0798">
        <w:rPr>
          <w:b/>
          <w:bCs/>
        </w:rPr>
        <w:t>que tenga en cuenta los logros obtenidos en</w:t>
      </w:r>
      <w:r w:rsidR="00E25F8D">
        <w:rPr>
          <w:b/>
          <w:bCs/>
        </w:rPr>
        <w:t xml:space="preserve"> el comercio de doble vía, la</w:t>
      </w:r>
      <w:r w:rsidR="00CF74A3" w:rsidRPr="00EC0798">
        <w:rPr>
          <w:b/>
          <w:bCs/>
        </w:rPr>
        <w:t xml:space="preserve"> inversión y </w:t>
      </w:r>
      <w:r w:rsidR="00EE5548">
        <w:rPr>
          <w:b/>
          <w:bCs/>
        </w:rPr>
        <w:t xml:space="preserve">los </w:t>
      </w:r>
      <w:r w:rsidR="00CF74A3" w:rsidRPr="00EC0798">
        <w:rPr>
          <w:b/>
          <w:bCs/>
        </w:rPr>
        <w:t xml:space="preserve">servicios, particularmente en turismo, </w:t>
      </w:r>
      <w:r w:rsidRPr="00EC0798">
        <w:rPr>
          <w:b/>
          <w:bCs/>
        </w:rPr>
        <w:t xml:space="preserve">dará la justa medida en los acercamientos con nuestros socios, para hacer los ajustes que podrían ser necesarios </w:t>
      </w:r>
      <w:r w:rsidR="008327D9" w:rsidRPr="00EC0798">
        <w:rPr>
          <w:b/>
          <w:bCs/>
        </w:rPr>
        <w:t>en estos acuerdos a la luz d</w:t>
      </w:r>
      <w:r w:rsidRPr="00EC0798">
        <w:rPr>
          <w:b/>
          <w:bCs/>
        </w:rPr>
        <w:t>el nuevo escenario internacional”</w:t>
      </w:r>
      <w:r w:rsidR="0058530E" w:rsidRPr="00EC0798">
        <w:rPr>
          <w:b/>
          <w:bCs/>
        </w:rPr>
        <w:t xml:space="preserve"> concluyó José Manuel Restrepo, Rector de la EIA.</w:t>
      </w:r>
    </w:p>
    <w:p w14:paraId="00B78E56" w14:textId="6E9A0D70" w:rsidR="00D91FCF" w:rsidRDefault="00D91FCF" w:rsidP="00D91FCF">
      <w:pPr>
        <w:spacing w:line="276" w:lineRule="auto"/>
        <w:jc w:val="both"/>
      </w:pPr>
      <w:r>
        <w:t>No hay duda</w:t>
      </w:r>
      <w:r w:rsidR="00E25F8D">
        <w:t>, por ejemplo,</w:t>
      </w:r>
      <w:r>
        <w:t xml:space="preserve"> que en el frente de las importaciones el país ha tenido acceso sin aranceles a un grupo amplio de productos procesados tales como los medicamentos, los instrumentos médicos, los productos cosméticos, los reactivos inmunológicos, los automóviles y  algunos productos químicos, así como a otro grupo de productos agrícolas con cronograma activo de desgravación arancelaria, como el maíz, el trigo y la soya, que presentan oferta limitada o poco competitiva en el país. </w:t>
      </w:r>
    </w:p>
    <w:p w14:paraId="1CDC34F6" w14:textId="74DAF1EC" w:rsidR="00D91FCF" w:rsidRDefault="00D91FCF" w:rsidP="00D91FCF">
      <w:pPr>
        <w:spacing w:line="276" w:lineRule="auto"/>
        <w:jc w:val="both"/>
      </w:pPr>
      <w:r>
        <w:t xml:space="preserve">Por esa razón, la persistencia de una balanza comercial negativa en casi en todo el período de ambos tratados – hoy del orden de US$ 5.500 millones con Estados Unidos y de US$ 2.000 millones con Europa - no debería ser tildada de tragedia, como piensan algunos analistas. “Por el contrario, </w:t>
      </w:r>
      <w:r w:rsidRPr="00EC0798">
        <w:rPr>
          <w:b/>
          <w:bCs/>
        </w:rPr>
        <w:t>ha sido evidente el impacto en bienestar para los consumidores nacionales como resultado de los precios favorables en muchos productos importados desde esos orígenes”</w:t>
      </w:r>
      <w:r w:rsidR="00906DDA">
        <w:rPr>
          <w:b/>
          <w:bCs/>
        </w:rPr>
        <w:t xml:space="preserve"> enfatiza el informe.</w:t>
      </w:r>
    </w:p>
    <w:p w14:paraId="00FEBF52" w14:textId="209B1500" w:rsidR="00B06617" w:rsidRDefault="00906DDA" w:rsidP="007F18B2">
      <w:pPr>
        <w:jc w:val="both"/>
        <w:rPr>
          <w:b/>
          <w:bCs/>
        </w:rPr>
      </w:pPr>
      <w:r w:rsidRPr="00906DDA">
        <w:t>Es claro entonces – concluye el reporte – que es necesario continuar profundizando la estrategia de aprovechamiento de ambo</w:t>
      </w:r>
      <w:r w:rsidR="00E50A74">
        <w:t>s</w:t>
      </w:r>
      <w:r w:rsidRPr="00906DDA">
        <w:t xml:space="preserve"> tratados, por la vía de la diplomacia comercial y sanitaria, de la aceleración </w:t>
      </w:r>
      <w:r w:rsidR="00E50A74">
        <w:t>en el</w:t>
      </w:r>
      <w:r w:rsidR="00236EAD">
        <w:t xml:space="preserve"> acceso amplio </w:t>
      </w:r>
      <w:r w:rsidR="00B028DC">
        <w:t>para nuestros</w:t>
      </w:r>
      <w:r w:rsidRPr="00906DDA">
        <w:t xml:space="preserve"> productos y del alistamiento productivo de la oferta agrícola, industrial y de servicios del país. </w:t>
      </w:r>
      <w:r w:rsidRPr="00B028DC">
        <w:rPr>
          <w:b/>
          <w:bCs/>
        </w:rPr>
        <w:t>En este contexto, José Manuel Restrepo</w:t>
      </w:r>
      <w:r w:rsidR="00B028DC" w:rsidRPr="00B028DC">
        <w:rPr>
          <w:b/>
          <w:bCs/>
        </w:rPr>
        <w:t>, Rector de la EIA, acogió</w:t>
      </w:r>
      <w:r w:rsidRPr="00B028DC">
        <w:rPr>
          <w:b/>
          <w:bCs/>
        </w:rPr>
        <w:t xml:space="preserve"> como muy pertinente la iniciativa del Ministro de Comercio, Industria y Turismo</w:t>
      </w:r>
      <w:r w:rsidR="00B028DC" w:rsidRPr="00B028DC">
        <w:rPr>
          <w:b/>
          <w:bCs/>
        </w:rPr>
        <w:t>, Germán Umaña Mendoza, de revisar los tratados en el marco de las Comisiones Administradoras, que son los escenarios en los cuales se puede obtener una mayor facilitación de acceso a mercados</w:t>
      </w:r>
      <w:r w:rsidR="00B028DC">
        <w:rPr>
          <w:b/>
          <w:bCs/>
        </w:rPr>
        <w:t>,</w:t>
      </w:r>
      <w:r w:rsidR="00B028DC" w:rsidRPr="00B028DC">
        <w:rPr>
          <w:b/>
          <w:bCs/>
        </w:rPr>
        <w:t xml:space="preserve"> como se ha venido haciendo año tras año en las relaciones c</w:t>
      </w:r>
      <w:r w:rsidR="00B028DC">
        <w:rPr>
          <w:b/>
          <w:bCs/>
        </w:rPr>
        <w:t>o</w:t>
      </w:r>
      <w:r w:rsidR="00B028DC" w:rsidRPr="00B028DC">
        <w:rPr>
          <w:b/>
          <w:bCs/>
        </w:rPr>
        <w:t>n Estados Unidos y Europa”</w:t>
      </w:r>
      <w:r w:rsidR="00B028DC">
        <w:rPr>
          <w:b/>
          <w:bCs/>
        </w:rPr>
        <w:t>.</w:t>
      </w:r>
    </w:p>
    <w:p w14:paraId="4399B8F0" w14:textId="77777777" w:rsidR="00B028DC" w:rsidRDefault="00B028DC" w:rsidP="007F18B2">
      <w:pPr>
        <w:jc w:val="both"/>
        <w:rPr>
          <w:b/>
          <w:bCs/>
        </w:rPr>
      </w:pPr>
    </w:p>
    <w:p w14:paraId="12E088A6" w14:textId="59ED7F48" w:rsidR="00B028DC" w:rsidRPr="00906DDA" w:rsidRDefault="00B028DC" w:rsidP="007F18B2">
      <w:pPr>
        <w:jc w:val="both"/>
      </w:pPr>
      <w:r>
        <w:rPr>
          <w:b/>
          <w:bCs/>
        </w:rPr>
        <w:t>Informes: Oficina de Comunicaciones Universidad EIA.</w:t>
      </w:r>
    </w:p>
    <w:sectPr w:rsidR="00B028DC" w:rsidRPr="00906DDA" w:rsidSect="00E325B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9C1"/>
    <w:multiLevelType w:val="hybridMultilevel"/>
    <w:tmpl w:val="5D46C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001B"/>
    <w:multiLevelType w:val="hybridMultilevel"/>
    <w:tmpl w:val="7BB2E9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B03FD"/>
    <w:multiLevelType w:val="hybridMultilevel"/>
    <w:tmpl w:val="501A8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77424"/>
    <w:multiLevelType w:val="hybridMultilevel"/>
    <w:tmpl w:val="8E82B6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463017">
    <w:abstractNumId w:val="3"/>
  </w:num>
  <w:num w:numId="2" w16cid:durableId="211233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2478814">
    <w:abstractNumId w:val="2"/>
  </w:num>
  <w:num w:numId="4" w16cid:durableId="1087264217">
    <w:abstractNumId w:val="0"/>
  </w:num>
  <w:num w:numId="5" w16cid:durableId="1158225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3A"/>
    <w:rsid w:val="00006E12"/>
    <w:rsid w:val="000148F1"/>
    <w:rsid w:val="00026438"/>
    <w:rsid w:val="00032272"/>
    <w:rsid w:val="00033F24"/>
    <w:rsid w:val="0005601F"/>
    <w:rsid w:val="000569C0"/>
    <w:rsid w:val="000813AD"/>
    <w:rsid w:val="000A12D7"/>
    <w:rsid w:val="000B6D7A"/>
    <w:rsid w:val="000B77F9"/>
    <w:rsid w:val="0010622B"/>
    <w:rsid w:val="00116CC2"/>
    <w:rsid w:val="001216D4"/>
    <w:rsid w:val="0013774D"/>
    <w:rsid w:val="00170803"/>
    <w:rsid w:val="001777F5"/>
    <w:rsid w:val="001A0EE3"/>
    <w:rsid w:val="001B4A56"/>
    <w:rsid w:val="001D4CD6"/>
    <w:rsid w:val="001D6BBB"/>
    <w:rsid w:val="001E04B2"/>
    <w:rsid w:val="001F0B18"/>
    <w:rsid w:val="001F5CF0"/>
    <w:rsid w:val="001F677D"/>
    <w:rsid w:val="0020501D"/>
    <w:rsid w:val="0021705F"/>
    <w:rsid w:val="00221EE6"/>
    <w:rsid w:val="00236EAD"/>
    <w:rsid w:val="002610B6"/>
    <w:rsid w:val="00263897"/>
    <w:rsid w:val="0027602F"/>
    <w:rsid w:val="002A4964"/>
    <w:rsid w:val="002E053C"/>
    <w:rsid w:val="002E48FA"/>
    <w:rsid w:val="002F5360"/>
    <w:rsid w:val="003117F1"/>
    <w:rsid w:val="0031464D"/>
    <w:rsid w:val="00316004"/>
    <w:rsid w:val="00320EEF"/>
    <w:rsid w:val="00343491"/>
    <w:rsid w:val="00354ECC"/>
    <w:rsid w:val="00355F02"/>
    <w:rsid w:val="00375967"/>
    <w:rsid w:val="003809B0"/>
    <w:rsid w:val="00390FAF"/>
    <w:rsid w:val="003962B2"/>
    <w:rsid w:val="003A0D67"/>
    <w:rsid w:val="003A129B"/>
    <w:rsid w:val="003A7E6A"/>
    <w:rsid w:val="003D5680"/>
    <w:rsid w:val="003D7740"/>
    <w:rsid w:val="003E02C6"/>
    <w:rsid w:val="003E367C"/>
    <w:rsid w:val="003E5BB6"/>
    <w:rsid w:val="003F77D4"/>
    <w:rsid w:val="00407F8A"/>
    <w:rsid w:val="00434426"/>
    <w:rsid w:val="0047164A"/>
    <w:rsid w:val="004737BD"/>
    <w:rsid w:val="00476653"/>
    <w:rsid w:val="00477631"/>
    <w:rsid w:val="00490212"/>
    <w:rsid w:val="004B17D6"/>
    <w:rsid w:val="004D590B"/>
    <w:rsid w:val="00570A51"/>
    <w:rsid w:val="005713AC"/>
    <w:rsid w:val="00574092"/>
    <w:rsid w:val="00583DEF"/>
    <w:rsid w:val="0058530E"/>
    <w:rsid w:val="005A080B"/>
    <w:rsid w:val="005A0EFB"/>
    <w:rsid w:val="005B26F5"/>
    <w:rsid w:val="005B641C"/>
    <w:rsid w:val="005D4534"/>
    <w:rsid w:val="005E3BFB"/>
    <w:rsid w:val="005F0F0B"/>
    <w:rsid w:val="00602371"/>
    <w:rsid w:val="0061190D"/>
    <w:rsid w:val="006257AF"/>
    <w:rsid w:val="00630553"/>
    <w:rsid w:val="00637FFA"/>
    <w:rsid w:val="0064117D"/>
    <w:rsid w:val="00650265"/>
    <w:rsid w:val="00661E55"/>
    <w:rsid w:val="00676F68"/>
    <w:rsid w:val="0069371F"/>
    <w:rsid w:val="006C5253"/>
    <w:rsid w:val="006C64B2"/>
    <w:rsid w:val="006F1FF7"/>
    <w:rsid w:val="00704CF2"/>
    <w:rsid w:val="0070771A"/>
    <w:rsid w:val="007078C8"/>
    <w:rsid w:val="007232A1"/>
    <w:rsid w:val="00726159"/>
    <w:rsid w:val="00732381"/>
    <w:rsid w:val="00737AA4"/>
    <w:rsid w:val="00754AD9"/>
    <w:rsid w:val="00756884"/>
    <w:rsid w:val="00775C75"/>
    <w:rsid w:val="007948BD"/>
    <w:rsid w:val="00797304"/>
    <w:rsid w:val="007A4F0C"/>
    <w:rsid w:val="007D34F9"/>
    <w:rsid w:val="007D5698"/>
    <w:rsid w:val="007E4E81"/>
    <w:rsid w:val="007F18B2"/>
    <w:rsid w:val="007F269E"/>
    <w:rsid w:val="00801C91"/>
    <w:rsid w:val="00812390"/>
    <w:rsid w:val="008327D9"/>
    <w:rsid w:val="008416B8"/>
    <w:rsid w:val="00842F94"/>
    <w:rsid w:val="00844981"/>
    <w:rsid w:val="00846E9D"/>
    <w:rsid w:val="008554DC"/>
    <w:rsid w:val="00876F3A"/>
    <w:rsid w:val="008B40DC"/>
    <w:rsid w:val="008C3900"/>
    <w:rsid w:val="008D0C2F"/>
    <w:rsid w:val="008D15F5"/>
    <w:rsid w:val="008D3A4C"/>
    <w:rsid w:val="008F4FAB"/>
    <w:rsid w:val="009019E0"/>
    <w:rsid w:val="009032CB"/>
    <w:rsid w:val="00906DDA"/>
    <w:rsid w:val="00910B69"/>
    <w:rsid w:val="00914314"/>
    <w:rsid w:val="00914B4A"/>
    <w:rsid w:val="00934D50"/>
    <w:rsid w:val="0094418A"/>
    <w:rsid w:val="009703DF"/>
    <w:rsid w:val="00974F3E"/>
    <w:rsid w:val="00975F9C"/>
    <w:rsid w:val="00981224"/>
    <w:rsid w:val="00981B99"/>
    <w:rsid w:val="00991C67"/>
    <w:rsid w:val="009C0C92"/>
    <w:rsid w:val="009E4B1D"/>
    <w:rsid w:val="009F3FA8"/>
    <w:rsid w:val="009F4C38"/>
    <w:rsid w:val="00A05A48"/>
    <w:rsid w:val="00A2019D"/>
    <w:rsid w:val="00A25EB4"/>
    <w:rsid w:val="00A302E4"/>
    <w:rsid w:val="00A31F12"/>
    <w:rsid w:val="00A43338"/>
    <w:rsid w:val="00A4443A"/>
    <w:rsid w:val="00A70749"/>
    <w:rsid w:val="00A719FD"/>
    <w:rsid w:val="00A80561"/>
    <w:rsid w:val="00A8248C"/>
    <w:rsid w:val="00A83337"/>
    <w:rsid w:val="00A87225"/>
    <w:rsid w:val="00A90306"/>
    <w:rsid w:val="00AB7BF4"/>
    <w:rsid w:val="00AC2B20"/>
    <w:rsid w:val="00AD32AD"/>
    <w:rsid w:val="00AF54FC"/>
    <w:rsid w:val="00B028DC"/>
    <w:rsid w:val="00B03FD1"/>
    <w:rsid w:val="00B06617"/>
    <w:rsid w:val="00B11A76"/>
    <w:rsid w:val="00B1510F"/>
    <w:rsid w:val="00B3277E"/>
    <w:rsid w:val="00B47EF2"/>
    <w:rsid w:val="00B675CB"/>
    <w:rsid w:val="00B7675E"/>
    <w:rsid w:val="00B84640"/>
    <w:rsid w:val="00BB1524"/>
    <w:rsid w:val="00BC116E"/>
    <w:rsid w:val="00BC3129"/>
    <w:rsid w:val="00BD1314"/>
    <w:rsid w:val="00BD49C7"/>
    <w:rsid w:val="00BD5E21"/>
    <w:rsid w:val="00BD6E8D"/>
    <w:rsid w:val="00BD7EAE"/>
    <w:rsid w:val="00C00387"/>
    <w:rsid w:val="00C139F3"/>
    <w:rsid w:val="00C17304"/>
    <w:rsid w:val="00C25EE2"/>
    <w:rsid w:val="00C331BC"/>
    <w:rsid w:val="00C365C5"/>
    <w:rsid w:val="00C43825"/>
    <w:rsid w:val="00C82BA5"/>
    <w:rsid w:val="00C9113B"/>
    <w:rsid w:val="00CA1494"/>
    <w:rsid w:val="00CB23EE"/>
    <w:rsid w:val="00CC0C68"/>
    <w:rsid w:val="00CC2DA9"/>
    <w:rsid w:val="00CD06DD"/>
    <w:rsid w:val="00CE18DA"/>
    <w:rsid w:val="00CF74A3"/>
    <w:rsid w:val="00D13482"/>
    <w:rsid w:val="00D174BF"/>
    <w:rsid w:val="00D17D61"/>
    <w:rsid w:val="00D17F14"/>
    <w:rsid w:val="00D23094"/>
    <w:rsid w:val="00D2334E"/>
    <w:rsid w:val="00D27556"/>
    <w:rsid w:val="00D502E9"/>
    <w:rsid w:val="00D839DC"/>
    <w:rsid w:val="00D91FCF"/>
    <w:rsid w:val="00DB7D73"/>
    <w:rsid w:val="00DC483C"/>
    <w:rsid w:val="00DE40B7"/>
    <w:rsid w:val="00DF5905"/>
    <w:rsid w:val="00E165C3"/>
    <w:rsid w:val="00E21CB9"/>
    <w:rsid w:val="00E25F8D"/>
    <w:rsid w:val="00E325B7"/>
    <w:rsid w:val="00E50A74"/>
    <w:rsid w:val="00E539C1"/>
    <w:rsid w:val="00E552B7"/>
    <w:rsid w:val="00E73ECD"/>
    <w:rsid w:val="00E9114C"/>
    <w:rsid w:val="00E91CD8"/>
    <w:rsid w:val="00EA16E8"/>
    <w:rsid w:val="00EA1CDC"/>
    <w:rsid w:val="00EB7A41"/>
    <w:rsid w:val="00EC0798"/>
    <w:rsid w:val="00EE0763"/>
    <w:rsid w:val="00EE5548"/>
    <w:rsid w:val="00EF2321"/>
    <w:rsid w:val="00EF2ED7"/>
    <w:rsid w:val="00F27ADF"/>
    <w:rsid w:val="00F31FB2"/>
    <w:rsid w:val="00F33824"/>
    <w:rsid w:val="00F52973"/>
    <w:rsid w:val="00F6523F"/>
    <w:rsid w:val="00F65A72"/>
    <w:rsid w:val="00F66D84"/>
    <w:rsid w:val="00F775EE"/>
    <w:rsid w:val="00FA33BB"/>
    <w:rsid w:val="00FB7039"/>
    <w:rsid w:val="00FC23C1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79B1"/>
  <w15:chartTrackingRefBased/>
  <w15:docId w15:val="{EA73BE98-C47E-49C1-89D8-4AEE798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F3A"/>
    <w:rPr>
      <w:rFonts w:ascii="Segoe UI Light" w:hAnsi="Segoe UI Light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76F3A"/>
    <w:pPr>
      <w:keepNext/>
      <w:keepLines/>
      <w:spacing w:before="240" w:after="0"/>
      <w:jc w:val="center"/>
      <w:outlineLvl w:val="0"/>
    </w:pPr>
    <w:rPr>
      <w:rFonts w:ascii="Segoe UI Semibold" w:eastAsiaTheme="majorEastAsia" w:hAnsi="Segoe UI Semibold" w:cstheme="majorBidi"/>
      <w:color w:val="2F5496" w:themeColor="accent1" w:themeShade="BF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6F3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6F3A"/>
    <w:rPr>
      <w:rFonts w:ascii="Segoe UI Semibold" w:eastAsiaTheme="majorEastAsia" w:hAnsi="Segoe UI Semibold" w:cstheme="majorBidi"/>
      <w:color w:val="2F5496" w:themeColor="accent1" w:themeShade="BF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6F3A"/>
    <w:rPr>
      <w:rFonts w:ascii="Segoe UI Light" w:eastAsiaTheme="majorEastAsia" w:hAnsi="Segoe UI Light" w:cstheme="majorBidi"/>
      <w:color w:val="2F5496" w:themeColor="accent1" w:themeShade="BF"/>
      <w:sz w:val="20"/>
      <w:szCs w:val="26"/>
    </w:rPr>
  </w:style>
  <w:style w:type="paragraph" w:styleId="Prrafodelista">
    <w:name w:val="List Paragraph"/>
    <w:basedOn w:val="Normal"/>
    <w:uiPriority w:val="34"/>
    <w:qFormat/>
    <w:rsid w:val="00876F3A"/>
    <w:pPr>
      <w:ind w:left="720"/>
      <w:contextualSpacing/>
    </w:pPr>
    <w:rPr>
      <w:rFonts w:asciiTheme="minorHAnsi" w:eastAsiaTheme="minorHAnsi" w:hAnsiTheme="minorHAnsi"/>
      <w:sz w:val="22"/>
      <w:lang w:val="es-ES_tradnl" w:eastAsia="en-U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B846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C2D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2DA9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2DA9"/>
    <w:rPr>
      <w:rFonts w:ascii="Segoe UI Light" w:hAnsi="Segoe UI Ligh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2D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2DA9"/>
    <w:rPr>
      <w:rFonts w:ascii="Segoe UI Light" w:hAnsi="Segoe U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FA22-2900-49B2-AB6E-7C7F93E4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Torres</dc:creator>
  <cp:keywords/>
  <dc:description/>
  <cp:lastModifiedBy>Saul Pineda</cp:lastModifiedBy>
  <cp:revision>11</cp:revision>
  <dcterms:created xsi:type="dcterms:W3CDTF">2023-08-28T17:53:00Z</dcterms:created>
  <dcterms:modified xsi:type="dcterms:W3CDTF">2023-08-28T18:44:00Z</dcterms:modified>
</cp:coreProperties>
</file>