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97BA9" w14:textId="77777777" w:rsidR="000761E6" w:rsidRPr="009572F7" w:rsidRDefault="000761E6" w:rsidP="000761E6">
      <w:pPr>
        <w:jc w:val="center"/>
        <w:rPr>
          <w:b/>
          <w:sz w:val="40"/>
          <w:szCs w:val="28"/>
          <w:lang w:val="es-MX"/>
        </w:rPr>
      </w:pPr>
    </w:p>
    <w:p w14:paraId="3650873F" w14:textId="20CE9150" w:rsidR="008F013E" w:rsidRPr="009572F7" w:rsidRDefault="00B45294" w:rsidP="000761E6">
      <w:pPr>
        <w:jc w:val="center"/>
        <w:rPr>
          <w:b/>
          <w:sz w:val="40"/>
          <w:szCs w:val="28"/>
          <w:lang w:val="es-MX"/>
        </w:rPr>
      </w:pPr>
      <w:r w:rsidRPr="009572F7">
        <w:rPr>
          <w:b/>
          <w:sz w:val="40"/>
          <w:szCs w:val="28"/>
          <w:lang w:val="es-MX"/>
        </w:rPr>
        <w:t xml:space="preserve">013 SONDA </w:t>
      </w:r>
      <w:r w:rsidR="00893EB5" w:rsidRPr="009572F7">
        <w:rPr>
          <w:b/>
          <w:sz w:val="40"/>
          <w:szCs w:val="28"/>
          <w:lang w:val="es-MX"/>
        </w:rPr>
        <w:t>N</w:t>
      </w:r>
      <w:r w:rsidRPr="009572F7">
        <w:rPr>
          <w:b/>
          <w:sz w:val="40"/>
          <w:szCs w:val="28"/>
          <w:lang w:val="es-MX"/>
        </w:rPr>
        <w:t>ASOGÁSTRICA MILLER ABBOTT</w:t>
      </w:r>
    </w:p>
    <w:p w14:paraId="5361F462" w14:textId="096D071C" w:rsidR="00B45294" w:rsidRPr="009572F7" w:rsidRDefault="003E0942">
      <w:pPr>
        <w:rPr>
          <w:sz w:val="32"/>
          <w:lang w:val="es-MX"/>
        </w:rPr>
      </w:pPr>
      <w:r w:rsidRPr="009572F7">
        <w:rPr>
          <w:sz w:val="32"/>
          <w:lang w:val="es-MX"/>
        </w:rPr>
        <w:t xml:space="preserve">Figura 1: Sonda </w:t>
      </w:r>
    </w:p>
    <w:p w14:paraId="52AC9EFE" w14:textId="3B7C40D5" w:rsidR="003E0942" w:rsidRPr="009572F7" w:rsidRDefault="003E0942" w:rsidP="003E0942">
      <w:pPr>
        <w:jc w:val="center"/>
        <w:rPr>
          <w:sz w:val="32"/>
          <w:lang w:val="es-MX"/>
        </w:rPr>
      </w:pPr>
      <w:r w:rsidRPr="009572F7">
        <w:rPr>
          <w:noProof/>
          <w:sz w:val="32"/>
        </w:rPr>
        <w:drawing>
          <wp:inline distT="0" distB="0" distL="0" distR="0" wp14:anchorId="28D002E6" wp14:editId="7DCD69EF">
            <wp:extent cx="5162550" cy="193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37" t="17508" r="5974" b="21212"/>
                    <a:stretch/>
                  </pic:blipFill>
                  <pic:spPr bwMode="auto">
                    <a:xfrm>
                      <a:off x="0" y="0"/>
                      <a:ext cx="51625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6A1E5" w14:textId="7684E0B6" w:rsidR="003E0942" w:rsidRPr="009572F7" w:rsidRDefault="003E0942" w:rsidP="003E0942">
      <w:pPr>
        <w:ind w:firstLine="708"/>
        <w:rPr>
          <w:sz w:val="32"/>
          <w:lang w:val="es-MX"/>
        </w:rPr>
      </w:pPr>
      <w:r w:rsidRPr="009572F7">
        <w:rPr>
          <w:sz w:val="32"/>
          <w:lang w:val="es-MX"/>
        </w:rPr>
        <w:t xml:space="preserve">Tomado de: </w:t>
      </w:r>
      <w:hyperlink r:id="rId9" w:history="1">
        <w:r w:rsidRPr="009572F7">
          <w:rPr>
            <w:rStyle w:val="Hipervnculo"/>
            <w:sz w:val="32"/>
            <w:lang w:val="es-MX"/>
          </w:rPr>
          <w:t>https://enfermeriacreativa.com/2021/12/08/tipos-de-sondas-nasogastricas/</w:t>
        </w:r>
      </w:hyperlink>
    </w:p>
    <w:p w14:paraId="0DC14469" w14:textId="4A6A3A53" w:rsidR="003E0942" w:rsidRPr="009572F7" w:rsidRDefault="003E0942" w:rsidP="003E0942">
      <w:pPr>
        <w:rPr>
          <w:sz w:val="32"/>
          <w:lang w:val="es-MX"/>
        </w:rPr>
      </w:pPr>
    </w:p>
    <w:p w14:paraId="684C553F" w14:textId="6099E046" w:rsidR="003E0942" w:rsidRPr="009572F7" w:rsidRDefault="003E0942" w:rsidP="003E0942">
      <w:pPr>
        <w:rPr>
          <w:b/>
          <w:sz w:val="40"/>
          <w:szCs w:val="28"/>
          <w:lang w:val="es-MX"/>
        </w:rPr>
      </w:pPr>
      <w:r w:rsidRPr="009572F7">
        <w:rPr>
          <w:b/>
          <w:sz w:val="40"/>
          <w:szCs w:val="28"/>
          <w:lang w:val="es-MX"/>
        </w:rPr>
        <w:t>Descripción de la Sonda Miller Abbott</w:t>
      </w:r>
    </w:p>
    <w:p w14:paraId="6CB7A790" w14:textId="29DC2D81" w:rsidR="00FD7D47" w:rsidRPr="009572F7" w:rsidRDefault="00B45294" w:rsidP="000761E6">
      <w:pPr>
        <w:ind w:left="708"/>
        <w:rPr>
          <w:sz w:val="32"/>
          <w:lang w:val="es-MX"/>
        </w:rPr>
      </w:pPr>
      <w:r w:rsidRPr="009572F7">
        <w:rPr>
          <w:sz w:val="32"/>
          <w:lang w:val="es-MX"/>
        </w:rPr>
        <w:t>Fundamentalmente, la sonda de Miller-Abbot consiste en un largo tubo de goma opaca a los rayos X, dividido por un tabique longitudinal en dos conductos desiguales: uno mayor, destinado a la aspiración, y otro menor, destinado a su vez al pas</w:t>
      </w:r>
      <w:bookmarkStart w:id="0" w:name="_GoBack"/>
      <w:bookmarkEnd w:id="0"/>
      <w:r w:rsidRPr="009572F7">
        <w:rPr>
          <w:sz w:val="32"/>
          <w:lang w:val="es-MX"/>
        </w:rPr>
        <w:t>o del aire para la insuflación de un pequeño balón situado en el extremo distal del tubo; este balón de goma fina, una vez distendido por el aire insuflado, es el que estimula el peristaltismo y facilita la progresión de la sonda a 10 largo de la luz intestinal</w:t>
      </w:r>
      <w:r w:rsidR="00FD7D47" w:rsidRPr="009572F7">
        <w:rPr>
          <w:sz w:val="32"/>
          <w:lang w:val="es-MX"/>
        </w:rPr>
        <w:t xml:space="preserve"> </w:t>
      </w:r>
      <w:sdt>
        <w:sdtPr>
          <w:rPr>
            <w:color w:val="000000"/>
            <w:sz w:val="32"/>
            <w:lang w:val="es-MX"/>
          </w:rPr>
          <w:tag w:val="MENDELEY_CITATION_v3_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"/>
          <w:id w:val="-1939662148"/>
          <w:placeholder>
            <w:docPart w:val="DefaultPlaceholder_-1854013440"/>
          </w:placeholder>
        </w:sdtPr>
        <w:sdtEndPr/>
        <w:sdtContent>
          <w:r w:rsidR="0031441B" w:rsidRPr="009572F7">
            <w:rPr>
              <w:color w:val="000000"/>
              <w:sz w:val="32"/>
              <w:lang w:val="es-MX"/>
            </w:rPr>
            <w:t>(1)</w:t>
          </w:r>
          <w:r w:rsidR="009572F7">
            <w:rPr>
              <w:color w:val="000000"/>
              <w:sz w:val="32"/>
              <w:lang w:val="es-MX"/>
            </w:rPr>
            <w:t>.</w:t>
          </w:r>
        </w:sdtContent>
      </w:sdt>
    </w:p>
    <w:p w14:paraId="5817F343" w14:textId="77777777" w:rsidR="009572F7" w:rsidRDefault="009572F7" w:rsidP="000761E6">
      <w:pPr>
        <w:ind w:firstLine="645"/>
        <w:rPr>
          <w:b/>
          <w:sz w:val="32"/>
          <w:lang w:val="es-MX"/>
        </w:rPr>
      </w:pPr>
    </w:p>
    <w:p w14:paraId="20BABECF" w14:textId="176D530E" w:rsidR="00B45294" w:rsidRPr="009572F7" w:rsidRDefault="000761E6" w:rsidP="000761E6">
      <w:pPr>
        <w:ind w:firstLine="645"/>
        <w:rPr>
          <w:b/>
          <w:sz w:val="32"/>
          <w:lang w:val="es-MX"/>
        </w:rPr>
      </w:pPr>
      <w:r w:rsidRPr="009572F7">
        <w:rPr>
          <w:b/>
          <w:sz w:val="32"/>
          <w:lang w:val="es-MX"/>
        </w:rPr>
        <w:t>Ref</w:t>
      </w:r>
      <w:r w:rsidR="00844D28" w:rsidRPr="009572F7">
        <w:rPr>
          <w:b/>
          <w:sz w:val="32"/>
          <w:lang w:val="es-MX"/>
        </w:rPr>
        <w:t>e</w:t>
      </w:r>
      <w:r w:rsidRPr="009572F7">
        <w:rPr>
          <w:b/>
          <w:sz w:val="32"/>
          <w:lang w:val="es-MX"/>
        </w:rPr>
        <w:t>rencias</w:t>
      </w:r>
    </w:p>
    <w:sdt>
      <w:sdtPr>
        <w:rPr>
          <w:sz w:val="32"/>
          <w:lang w:val="es-MX"/>
        </w:rPr>
        <w:tag w:val="MENDELEY_BIBLIOGRAPHY"/>
        <w:id w:val="-497801935"/>
        <w:placeholder>
          <w:docPart w:val="DefaultPlaceholder_-1854013440"/>
        </w:placeholder>
      </w:sdtPr>
      <w:sdtEndPr/>
      <w:sdtContent>
        <w:p w14:paraId="232407CA" w14:textId="0767C35F" w:rsidR="0031441B" w:rsidRPr="009572F7" w:rsidRDefault="0031441B" w:rsidP="00507B3B">
          <w:pPr>
            <w:pStyle w:val="Prrafodelista"/>
            <w:numPr>
              <w:ilvl w:val="0"/>
              <w:numId w:val="1"/>
            </w:numPr>
            <w:autoSpaceDE w:val="0"/>
            <w:autoSpaceDN w:val="0"/>
            <w:divId w:val="1190530299"/>
            <w:rPr>
              <w:rFonts w:eastAsia="Times New Roman"/>
              <w:sz w:val="24"/>
            </w:rPr>
          </w:pPr>
          <w:r w:rsidRPr="009572F7">
            <w:rPr>
              <w:rFonts w:eastAsia="Times New Roman"/>
              <w:sz w:val="24"/>
            </w:rPr>
            <w:t xml:space="preserve">Garriga Barberas P. La Sonda de Miller-Abbot en el diagnóstico y tratamiento de las oclusiones intestinales. </w:t>
          </w:r>
          <w:proofErr w:type="spellStart"/>
          <w:r w:rsidRPr="009572F7">
            <w:rPr>
              <w:rFonts w:eastAsia="Times New Roman"/>
              <w:sz w:val="24"/>
            </w:rPr>
            <w:t>An</w:t>
          </w:r>
          <w:proofErr w:type="spellEnd"/>
          <w:r w:rsidRPr="009572F7">
            <w:rPr>
              <w:rFonts w:eastAsia="Times New Roman"/>
              <w:sz w:val="24"/>
            </w:rPr>
            <w:t xml:space="preserve"> </w:t>
          </w:r>
          <w:proofErr w:type="spellStart"/>
          <w:r w:rsidRPr="009572F7">
            <w:rPr>
              <w:rFonts w:eastAsia="Times New Roman"/>
              <w:sz w:val="24"/>
            </w:rPr>
            <w:t>Med</w:t>
          </w:r>
          <w:proofErr w:type="spellEnd"/>
          <w:r w:rsidRPr="009572F7">
            <w:rPr>
              <w:rFonts w:eastAsia="Times New Roman"/>
              <w:sz w:val="24"/>
            </w:rPr>
            <w:t xml:space="preserve"> Cir. 1946; XX (No. 17):265–9. </w:t>
          </w:r>
          <w:r w:rsidR="00507B3B" w:rsidRPr="009572F7">
            <w:rPr>
              <w:rFonts w:eastAsia="Times New Roman"/>
              <w:sz w:val="24"/>
            </w:rPr>
            <w:t xml:space="preserve">Disponible en: </w:t>
          </w:r>
          <w:hyperlink r:id="rId10" w:history="1">
            <w:r w:rsidR="00507B3B" w:rsidRPr="009572F7">
              <w:rPr>
                <w:rStyle w:val="Hipervnculo"/>
                <w:rFonts w:eastAsia="Times New Roman"/>
                <w:sz w:val="24"/>
              </w:rPr>
              <w:t>https://raco.cat/index.php/AnalesMedicina/article/view/183285/</w:t>
            </w:r>
          </w:hyperlink>
        </w:p>
        <w:p w14:paraId="5402348C" w14:textId="77777777" w:rsidR="00507B3B" w:rsidRPr="009572F7" w:rsidRDefault="00507B3B" w:rsidP="00507B3B">
          <w:pPr>
            <w:pStyle w:val="Prrafodelista"/>
            <w:autoSpaceDE w:val="0"/>
            <w:autoSpaceDN w:val="0"/>
            <w:ind w:left="5"/>
            <w:divId w:val="1190530299"/>
            <w:rPr>
              <w:rFonts w:eastAsia="Times New Roman"/>
              <w:sz w:val="32"/>
              <w:szCs w:val="24"/>
            </w:rPr>
          </w:pPr>
        </w:p>
        <w:p w14:paraId="7545EA67" w14:textId="7ECA715F" w:rsidR="0031441B" w:rsidRPr="009572F7" w:rsidRDefault="0031441B" w:rsidP="00B45294">
          <w:pPr>
            <w:rPr>
              <w:sz w:val="32"/>
              <w:lang w:val="es-MX"/>
            </w:rPr>
          </w:pPr>
          <w:r w:rsidRPr="009572F7">
            <w:rPr>
              <w:rFonts w:eastAsia="Times New Roman"/>
              <w:sz w:val="28"/>
            </w:rPr>
            <w:t> </w:t>
          </w:r>
        </w:p>
      </w:sdtContent>
    </w:sdt>
    <w:sectPr w:rsidR="0031441B" w:rsidRPr="009572F7" w:rsidSect="009572F7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E1FF" w14:textId="77777777" w:rsidR="00C44F14" w:rsidRDefault="00C44F14" w:rsidP="000761E6">
      <w:pPr>
        <w:spacing w:after="0" w:line="240" w:lineRule="auto"/>
      </w:pPr>
      <w:r>
        <w:separator/>
      </w:r>
    </w:p>
  </w:endnote>
  <w:endnote w:type="continuationSeparator" w:id="0">
    <w:p w14:paraId="4434C6C7" w14:textId="77777777" w:rsidR="00C44F14" w:rsidRDefault="00C44F14" w:rsidP="0007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30D9" w14:textId="77777777" w:rsidR="00C44F14" w:rsidRDefault="00C44F14" w:rsidP="000761E6">
      <w:pPr>
        <w:spacing w:after="0" w:line="240" w:lineRule="auto"/>
      </w:pPr>
      <w:r>
        <w:separator/>
      </w:r>
    </w:p>
  </w:footnote>
  <w:footnote w:type="continuationSeparator" w:id="0">
    <w:p w14:paraId="7BA908B4" w14:textId="77777777" w:rsidR="00C44F14" w:rsidRDefault="00C44F14" w:rsidP="0007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8C1A" w14:textId="77777777" w:rsidR="000761E6" w:rsidRPr="000566ED" w:rsidRDefault="000761E6" w:rsidP="000761E6">
    <w:pPr>
      <w:pStyle w:val="Encabezado"/>
      <w:rPr>
        <w:b/>
        <w:sz w:val="28"/>
        <w:szCs w:val="28"/>
      </w:rPr>
    </w:pPr>
    <w:r w:rsidRPr="000566ED">
      <w:rPr>
        <w:b/>
        <w:sz w:val="28"/>
        <w:szCs w:val="28"/>
      </w:rPr>
      <w:t>1ra Exposición: Artefactos Médicos del Siglo XX</w:t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3A1BB" wp14:editId="16E04612">
          <wp:simplePos x="0" y="0"/>
          <wp:positionH relativeFrom="column">
            <wp:posOffset>3924300</wp:posOffset>
          </wp:positionH>
          <wp:positionV relativeFrom="paragraph">
            <wp:posOffset>-74295</wp:posOffset>
          </wp:positionV>
          <wp:extent cx="1767205" cy="519430"/>
          <wp:effectExtent l="0" t="0" r="4445" b="0"/>
          <wp:wrapNone/>
          <wp:docPr id="128" name="Imagen 127">
            <a:extLst xmlns:a="http://schemas.openxmlformats.org/drawingml/2006/main">
              <a:ext uri="{FF2B5EF4-FFF2-40B4-BE49-F238E27FC236}">
                <a16:creationId xmlns:a16="http://schemas.microsoft.com/office/drawing/2014/main" id="{FD65DCD4-E27A-46CD-85C6-92007B886F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n 127">
                    <a:extLst>
                      <a:ext uri="{FF2B5EF4-FFF2-40B4-BE49-F238E27FC236}">
                        <a16:creationId xmlns:a16="http://schemas.microsoft.com/office/drawing/2014/main" id="{FD65DCD4-E27A-46CD-85C6-92007B886F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8" t="4995" r="18710" b="76839"/>
                  <a:stretch/>
                </pic:blipFill>
                <pic:spPr>
                  <a:xfrm>
                    <a:off x="0" y="0"/>
                    <a:ext cx="17672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34ECF0CA" wp14:editId="00DE3D78">
          <wp:simplePos x="0" y="0"/>
          <wp:positionH relativeFrom="column">
            <wp:posOffset>5638165</wp:posOffset>
          </wp:positionH>
          <wp:positionV relativeFrom="paragraph">
            <wp:posOffset>-124460</wp:posOffset>
          </wp:positionV>
          <wp:extent cx="709085" cy="619856"/>
          <wp:effectExtent l="0" t="0" r="0" b="8890"/>
          <wp:wrapNone/>
          <wp:docPr id="129" name="Imagen 128">
            <a:extLst xmlns:a="http://schemas.openxmlformats.org/drawingml/2006/main">
              <a:ext uri="{FF2B5EF4-FFF2-40B4-BE49-F238E27FC236}">
                <a16:creationId xmlns:a16="http://schemas.microsoft.com/office/drawing/2014/main" id="{6E27A7DB-7DD5-4DA7-AFE3-7DA49A059D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n 128">
                    <a:extLst>
                      <a:ext uri="{FF2B5EF4-FFF2-40B4-BE49-F238E27FC236}">
                        <a16:creationId xmlns:a16="http://schemas.microsoft.com/office/drawing/2014/main" id="{6E27A7DB-7DD5-4DA7-AFE3-7DA49A059D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6"/>
                  <a:stretch/>
                </pic:blipFill>
                <pic:spPr>
                  <a:xfrm>
                    <a:off x="0" y="0"/>
                    <a:ext cx="709085" cy="61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F005E4" w14:textId="77777777" w:rsidR="000761E6" w:rsidRDefault="00076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109EA"/>
    <w:multiLevelType w:val="hybridMultilevel"/>
    <w:tmpl w:val="9230D508"/>
    <w:lvl w:ilvl="0" w:tplc="D16A8610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E"/>
    <w:rsid w:val="000761E6"/>
    <w:rsid w:val="0031441B"/>
    <w:rsid w:val="003E0942"/>
    <w:rsid w:val="00507B3B"/>
    <w:rsid w:val="0060109E"/>
    <w:rsid w:val="007918A3"/>
    <w:rsid w:val="00844D28"/>
    <w:rsid w:val="00893EB5"/>
    <w:rsid w:val="009572F7"/>
    <w:rsid w:val="00A34CF3"/>
    <w:rsid w:val="00AF58A9"/>
    <w:rsid w:val="00B059E6"/>
    <w:rsid w:val="00B45294"/>
    <w:rsid w:val="00C44F14"/>
    <w:rsid w:val="00E0448A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EE5"/>
  <w15:chartTrackingRefBased/>
  <w15:docId w15:val="{6C4D0D7F-8F24-4408-A2ED-5DF4C85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29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07B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B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7B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6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1E6"/>
  </w:style>
  <w:style w:type="paragraph" w:styleId="Piedepgina">
    <w:name w:val="footer"/>
    <w:basedOn w:val="Normal"/>
    <w:link w:val="PiedepginaCar"/>
    <w:uiPriority w:val="99"/>
    <w:unhideWhenUsed/>
    <w:rsid w:val="00076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co.cat/index.php/AnalesMedicina/article/view/18328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fermeriacreativa.com/2021/12/08/tipos-de-sondas-nasogastric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39D-0C92-4935-B61B-48F43785426C}"/>
      </w:docPartPr>
      <w:docPartBody>
        <w:p w:rsidR="00E86691" w:rsidRDefault="00871440">
          <w:r w:rsidRPr="00D467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0"/>
    <w:rsid w:val="00031525"/>
    <w:rsid w:val="000F7613"/>
    <w:rsid w:val="00334CAC"/>
    <w:rsid w:val="00440717"/>
    <w:rsid w:val="00871440"/>
    <w:rsid w:val="00BA0F27"/>
    <w:rsid w:val="00E86691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1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3BC27-4038-4943-A986-A102479BA562}">
  <we:reference id="f78a3046-9e99-4300-aa2b-5814002b01a2" version="1.55.1.0" store="EXCatalog" storeType="EXCatalog"/>
  <we:alternateReferences>
    <we:reference id="WA104382081" version="1.55.1.0" store="es-CO" storeType="OMEX"/>
  </we:alternateReferences>
  <we:properties>
    <we:property name="MENDELEY_CITATIONS_STYLE" value="{&quot;id&quot;:&quot;https://www.zotero.org/styles/vancouver&quot;,&quot;title&quot;:&quot;Vancouver&quot;,&quot;format&quot;:&quot;numeric&quot;,&quot;defaultLocale&quot;:null,&quot;isLocaleCodeValid&quot;:true}"/>
    <we:property name="MENDELEY_CITATIONS" value="[{&quot;citationID&quot;:&quot;MENDELEY_CITATION_4bcd7c65-3dcd-41a4-9e10-0bef3278ea74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&quot;,&quot;citationItems&quot;:[{&quot;id&quot;:&quot;679f6696-38da-33bd-8a50-a08364be3092&quot;,&quot;itemData&quot;:{&quot;type&quot;:&quot;article-journal&quot;,&quot;id&quot;:&quot;679f6696-38da-33bd-8a50-a08364be3092&quot;,&quot;title&quot;:&quot;La Sonda de Miller-Abbot en el diagnóstico y tratamiento de las oclusiones intestinales&quot;,&quot;author&quot;:[{&quot;family&quot;:&quot;P.&quot;,&quot;given&quot;:&quot;Garriga Barberá&quot;,&quot;parse-names&quot;:false,&quot;dropping-particle&quot;:&quot;&quot;,&quot;non-dropping-particle&quot;:&quot;&quot;}],&quot;container-title&quot;:&quot;Anales de Medicina y Cirugía&quot;,&quot;container-title-short&quot;:&quot;An Med Cir&quot;,&quot;issued&quot;:{&quot;date-parts&quot;:[[1946,11]]},&quot;page&quot;:&quot;265-269&quot;,&quot;volume&quot;:&quot;XX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90080236-71AB-48DC-B315-E3E7BB11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Hadison Aguirre Escobar</dc:creator>
  <cp:keywords/>
  <dc:description/>
  <cp:lastModifiedBy>Jhon Hadison Aguirre Escobar</cp:lastModifiedBy>
  <cp:revision>11</cp:revision>
  <dcterms:created xsi:type="dcterms:W3CDTF">2024-03-14T21:37:00Z</dcterms:created>
  <dcterms:modified xsi:type="dcterms:W3CDTF">2024-04-02T19:19:00Z</dcterms:modified>
</cp:coreProperties>
</file>